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56B60" w14:textId="5CE178E8" w:rsidR="00945F78" w:rsidRDefault="00945F78" w:rsidP="00945F78">
      <w:pPr>
        <w:ind w:firstLine="720"/>
        <w:jc w:val="center"/>
        <w:rPr>
          <w:rFonts w:cs="Times New Roman"/>
        </w:rPr>
      </w:pPr>
      <w:r w:rsidRPr="00945F78">
        <w:rPr>
          <w:rFonts w:cs="Times New Roman"/>
          <w:b/>
          <w:bCs/>
        </w:rPr>
        <w:t xml:space="preserve">Apéndice </w:t>
      </w:r>
      <w:r w:rsidR="00E373F8">
        <w:rPr>
          <w:rFonts w:cs="Times New Roman"/>
          <w:b/>
          <w:bCs/>
        </w:rPr>
        <w:t>S</w:t>
      </w:r>
      <w:r w:rsidRPr="00945F78">
        <w:rPr>
          <w:rFonts w:cs="Times New Roman"/>
          <w:b/>
          <w:bCs/>
        </w:rPr>
        <w:t>.</w:t>
      </w:r>
      <w:r>
        <w:rPr>
          <w:rFonts w:cs="Times New Roman"/>
        </w:rPr>
        <w:t xml:space="preserve"> Análisis de matriz Leopold.</w:t>
      </w:r>
    </w:p>
    <w:p w14:paraId="7CDC5E71" w14:textId="15D28BAF" w:rsidR="00945F78" w:rsidRPr="00E715BC" w:rsidRDefault="00945F78" w:rsidP="00945F78">
      <w:pPr>
        <w:ind w:firstLine="720"/>
        <w:rPr>
          <w:rFonts w:cs="Times New Roman"/>
        </w:rPr>
      </w:pPr>
      <w:r w:rsidRPr="00E715BC">
        <w:rPr>
          <w:rFonts w:cs="Times New Roman"/>
        </w:rPr>
        <w:t>El análisis de la matriz Leopold para las fases de diseño, construcción y operación del proyecto, considerando factores ambientales clave, revela una serie de impactos tanto positivos como negativos. La calidad del agua es uno de los factores más afectados negativamente durante las fases de perforación, revestimiento, movilidad y mantenimiento del proyecto, acumulando un total de -27 en afectaciones negativas. Esto indica que el proyecto podría tener un impacto significativo en la calidad del agua en las áreas afectadas, con un agregado del impacto final de -2.</w:t>
      </w:r>
    </w:p>
    <w:p w14:paraId="2D200572" w14:textId="77777777" w:rsidR="00945F78" w:rsidRPr="00E715BC" w:rsidRDefault="00945F78" w:rsidP="00945F78">
      <w:pPr>
        <w:ind w:firstLine="720"/>
        <w:rPr>
          <w:rFonts w:cs="Times New Roman"/>
        </w:rPr>
      </w:pPr>
      <w:r w:rsidRPr="00E715BC">
        <w:rPr>
          <w:rFonts w:cs="Times New Roman"/>
        </w:rPr>
        <w:t>Las actividades del proyecto, especialmente durante las fases de construcción, tienen un impacto considerablemente negativo en la calidad del aire, alcanzando un total de -40 en afectaciones negativas. Este resultado destaca la necesidad de implementar medidas rigurosas de control de emisiones para mitigar la contaminación atmosférica generada. La erosión y la estabilidad de los taludes son otros factores afectados negativamente. La erosión obtiene un total de -32 en afectaciones, mientras que la estabilidad de los taludes tiene un impacto menor pero aún negativo, con un total de -6. Estos resultados sugieren que el proyecto podría causar degradación del suelo y riesgos de deslizamientos, por lo que es crucial adoptar medidas para minimizar estos impactos.</w:t>
      </w:r>
    </w:p>
    <w:p w14:paraId="407DAB93" w14:textId="77777777" w:rsidR="00945F78" w:rsidRPr="00E715BC" w:rsidRDefault="00945F78" w:rsidP="00945F78">
      <w:pPr>
        <w:ind w:firstLine="720"/>
        <w:rPr>
          <w:rFonts w:cs="Times New Roman"/>
        </w:rPr>
      </w:pPr>
      <w:r w:rsidRPr="00E715BC">
        <w:rPr>
          <w:rFonts w:cs="Times New Roman"/>
        </w:rPr>
        <w:t>La microflora sufre un impacto negativo moderado, con una afectación total de -12. Esto refleja que, aunque el impacto no es extremo, el proyecto podría alterar significativamente la vegetación microscópica y otros componentes esenciales del ecosistema del suelo. La fauna terrestre, incluyendo reptiles, también experimenta un impacto negativo, con un total de -19 en afectaciones. Este resultado subraya la necesidad de considerar la protección de la fauna durante todas las fases del proyecto para evitar daños irreversibles en la biodiversidad local.</w:t>
      </w:r>
    </w:p>
    <w:p w14:paraId="302BF2FB" w14:textId="77777777" w:rsidR="00945F78" w:rsidRPr="00E715BC" w:rsidRDefault="00945F78" w:rsidP="00945F78">
      <w:pPr>
        <w:ind w:firstLine="720"/>
        <w:rPr>
          <w:rFonts w:cs="Times New Roman"/>
        </w:rPr>
      </w:pPr>
      <w:r w:rsidRPr="00E715BC">
        <w:rPr>
          <w:rFonts w:cs="Times New Roman"/>
        </w:rPr>
        <w:lastRenderedPageBreak/>
        <w:t>En términos de diseño del paisaje y condiciones físicas únicas, el impacto es mixto. El diseño del paisaje se mantiene casi equilibrado, con una afectación final de -1, mientras que las condiciones físicas únicas sufren un impacto más pronunciado, con un total de -17 en afectaciones. Estos resultados indican que, aunque se están haciendo esfuerzos para mantener la estética del paisaje, ciertas características únicas podrían verse afectadas negativamente.</w:t>
      </w:r>
    </w:p>
    <w:p w14:paraId="21155317" w14:textId="77777777" w:rsidR="00945F78" w:rsidRPr="00E715BC" w:rsidRDefault="00945F78" w:rsidP="00945F78">
      <w:pPr>
        <w:ind w:firstLine="720"/>
        <w:rPr>
          <w:rFonts w:cs="Times New Roman"/>
        </w:rPr>
      </w:pPr>
      <w:r w:rsidRPr="00E715BC">
        <w:rPr>
          <w:rFonts w:cs="Times New Roman"/>
        </w:rPr>
        <w:t>El impacto en el empleo es altamente positivo, con un agregado del impacto de +99. Este factor destaca como el mayor beneficio social del proyecto, contribuyendo significativamente al desarrollo económico local y a la generación de empleo. La red de transporte también presenta un impacto positivo considerable, con un total de +53 en afectaciones positivas. Esto sugiere que el proyecto mejorará la infraestructura de transporte en la zona, facilitando la movilidad y conectividad.</w:t>
      </w:r>
    </w:p>
    <w:p w14:paraId="4A214CE8" w14:textId="77777777" w:rsidR="00945F78" w:rsidRPr="00E715BC" w:rsidRDefault="00945F78" w:rsidP="00E373F8">
      <w:pPr>
        <w:pStyle w:val="Ttulo2"/>
        <w:jc w:val="both"/>
        <w:rPr>
          <w:rFonts w:cs="Times New Roman"/>
        </w:rPr>
      </w:pPr>
      <w:bookmarkStart w:id="0" w:name="_Toc188833112"/>
      <w:r w:rsidRPr="00E715BC">
        <w:rPr>
          <w:rFonts w:cs="Times New Roman"/>
        </w:rPr>
        <w:t>12.4. Estrategias matriz Leopold</w:t>
      </w:r>
      <w:bookmarkEnd w:id="0"/>
    </w:p>
    <w:p w14:paraId="7A9038EB" w14:textId="77777777" w:rsidR="00945F78" w:rsidRPr="00E715BC" w:rsidRDefault="00945F78" w:rsidP="00945F78">
      <w:pPr>
        <w:ind w:firstLine="720"/>
        <w:rPr>
          <w:rFonts w:cs="Times New Roman"/>
        </w:rPr>
      </w:pPr>
      <w:r w:rsidRPr="00E715BC">
        <w:rPr>
          <w:rFonts w:cs="Times New Roman"/>
        </w:rPr>
        <w:t>A partir de la identificación de los factores ambientales y sociales afectados durante las fases de diseño, construcción y operación, se propone una serie de estrategias tabla 40 orientadas a mitigar los impactos negativos y maximizar los beneficios potenciales. Este enfoque integral busca garantizar un equilibrio entre el desarrollo económico, la preservación del entorno natural y el bienestar de las comunidades involucradas, asegurando un proceso de implementación sostenible y responsable.</w:t>
      </w:r>
    </w:p>
    <w:p w14:paraId="7717F8F1" w14:textId="1175DE7B" w:rsidR="00E373F8" w:rsidRPr="00E373F8" w:rsidRDefault="00E373F8" w:rsidP="00E373F8">
      <w:pPr>
        <w:pStyle w:val="Descripcin"/>
        <w:rPr>
          <w:rFonts w:cs="Times New Roman"/>
          <w:b/>
          <w:bCs/>
          <w:i w:val="0"/>
          <w:iCs w:val="0"/>
          <w:color w:val="auto"/>
          <w:sz w:val="24"/>
          <w:szCs w:val="22"/>
        </w:rPr>
      </w:pPr>
      <w:bookmarkStart w:id="1" w:name="_Toc188836857"/>
      <w:r w:rsidRPr="00E373F8">
        <w:rPr>
          <w:rFonts w:cs="Times New Roman"/>
          <w:b/>
          <w:bCs/>
          <w:i w:val="0"/>
          <w:iCs w:val="0"/>
          <w:color w:val="auto"/>
          <w:sz w:val="24"/>
          <w:szCs w:val="22"/>
        </w:rPr>
        <w:t xml:space="preserve">Tabla </w:t>
      </w:r>
      <w:r w:rsidRPr="00E373F8">
        <w:rPr>
          <w:rFonts w:cs="Times New Roman"/>
          <w:b/>
          <w:bCs/>
          <w:i w:val="0"/>
          <w:iCs w:val="0"/>
          <w:color w:val="auto"/>
          <w:sz w:val="24"/>
          <w:szCs w:val="22"/>
        </w:rPr>
        <w:fldChar w:fldCharType="begin"/>
      </w:r>
      <w:r w:rsidRPr="00E373F8">
        <w:rPr>
          <w:rFonts w:cs="Times New Roman"/>
          <w:b/>
          <w:bCs/>
          <w:i w:val="0"/>
          <w:iCs w:val="0"/>
          <w:color w:val="auto"/>
          <w:sz w:val="24"/>
          <w:szCs w:val="22"/>
        </w:rPr>
        <w:instrText xml:space="preserve"> SEQ Tabla \* ARABIC </w:instrText>
      </w:r>
      <w:r w:rsidRPr="00E373F8">
        <w:rPr>
          <w:rFonts w:cs="Times New Roman"/>
          <w:b/>
          <w:bCs/>
          <w:i w:val="0"/>
          <w:iCs w:val="0"/>
          <w:color w:val="auto"/>
          <w:sz w:val="24"/>
          <w:szCs w:val="22"/>
        </w:rPr>
        <w:fldChar w:fldCharType="separate"/>
      </w:r>
      <w:r w:rsidRPr="00E373F8">
        <w:rPr>
          <w:rFonts w:cs="Times New Roman"/>
          <w:b/>
          <w:bCs/>
          <w:i w:val="0"/>
          <w:iCs w:val="0"/>
          <w:color w:val="auto"/>
          <w:sz w:val="24"/>
          <w:szCs w:val="22"/>
        </w:rPr>
        <w:t>1</w:t>
      </w:r>
      <w:r w:rsidRPr="00E373F8">
        <w:rPr>
          <w:rFonts w:cs="Times New Roman"/>
          <w:b/>
          <w:bCs/>
          <w:i w:val="0"/>
          <w:iCs w:val="0"/>
          <w:color w:val="auto"/>
          <w:sz w:val="24"/>
          <w:szCs w:val="22"/>
        </w:rPr>
        <w:fldChar w:fldCharType="end"/>
      </w:r>
    </w:p>
    <w:p w14:paraId="1FB5741D" w14:textId="50E833CC" w:rsidR="00945F78" w:rsidRPr="009D0BB3" w:rsidRDefault="00945F78" w:rsidP="00945F78">
      <w:pPr>
        <w:pStyle w:val="Descripcin"/>
        <w:rPr>
          <w:rFonts w:cs="Times New Roman"/>
          <w:i w:val="0"/>
          <w:iCs w:val="0"/>
          <w:color w:val="auto"/>
          <w:sz w:val="24"/>
          <w:szCs w:val="24"/>
        </w:rPr>
      </w:pPr>
      <w:r w:rsidRPr="009D0BB3">
        <w:rPr>
          <w:rFonts w:cs="Times New Roman"/>
          <w:color w:val="auto"/>
          <w:sz w:val="24"/>
          <w:szCs w:val="24"/>
        </w:rPr>
        <w:t>Estrategias matriz Leopold</w:t>
      </w:r>
      <w:bookmarkEnd w:id="1"/>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253"/>
        <w:gridCol w:w="6251"/>
      </w:tblGrid>
      <w:tr w:rsidR="00945F78" w:rsidRPr="00E715BC" w14:paraId="1FD6F99C" w14:textId="77777777" w:rsidTr="002748C7">
        <w:tc>
          <w:tcPr>
            <w:tcW w:w="2405" w:type="dxa"/>
            <w:tcBorders>
              <w:right w:val="nil"/>
            </w:tcBorders>
          </w:tcPr>
          <w:p w14:paraId="0F3452B5" w14:textId="77777777" w:rsidR="00945F78" w:rsidRPr="00E715BC" w:rsidRDefault="00945F78" w:rsidP="002748C7">
            <w:pPr>
              <w:spacing w:line="276" w:lineRule="auto"/>
              <w:jc w:val="center"/>
              <w:rPr>
                <w:rFonts w:cs="Times New Roman"/>
                <w:b/>
                <w:bCs/>
                <w:sz w:val="20"/>
                <w:szCs w:val="20"/>
              </w:rPr>
            </w:pPr>
            <w:r w:rsidRPr="00E715BC">
              <w:rPr>
                <w:rFonts w:cs="Times New Roman"/>
                <w:b/>
                <w:bCs/>
                <w:sz w:val="20"/>
                <w:szCs w:val="20"/>
              </w:rPr>
              <w:t>Estrategia</w:t>
            </w:r>
          </w:p>
        </w:tc>
        <w:tc>
          <w:tcPr>
            <w:tcW w:w="6945" w:type="dxa"/>
            <w:tcBorders>
              <w:left w:val="nil"/>
            </w:tcBorders>
          </w:tcPr>
          <w:p w14:paraId="655598E2" w14:textId="77777777" w:rsidR="00945F78" w:rsidRPr="00E715BC" w:rsidRDefault="00945F78" w:rsidP="002748C7">
            <w:pPr>
              <w:spacing w:line="276" w:lineRule="auto"/>
              <w:jc w:val="center"/>
              <w:rPr>
                <w:rFonts w:cs="Times New Roman"/>
                <w:b/>
                <w:bCs/>
                <w:sz w:val="20"/>
                <w:szCs w:val="20"/>
              </w:rPr>
            </w:pPr>
            <w:r w:rsidRPr="00E715BC">
              <w:rPr>
                <w:rFonts w:cs="Times New Roman"/>
                <w:b/>
                <w:bCs/>
                <w:sz w:val="20"/>
                <w:szCs w:val="20"/>
              </w:rPr>
              <w:t>Descripción</w:t>
            </w:r>
          </w:p>
        </w:tc>
      </w:tr>
      <w:tr w:rsidR="00945F78" w:rsidRPr="00E715BC" w14:paraId="71E2CA0C" w14:textId="77777777" w:rsidTr="002748C7">
        <w:tc>
          <w:tcPr>
            <w:tcW w:w="2405" w:type="dxa"/>
            <w:tcBorders>
              <w:right w:val="nil"/>
            </w:tcBorders>
          </w:tcPr>
          <w:p w14:paraId="1532918B" w14:textId="77777777" w:rsidR="00945F78" w:rsidRPr="00E715BC" w:rsidRDefault="00945F78" w:rsidP="002748C7">
            <w:pPr>
              <w:spacing w:line="276" w:lineRule="auto"/>
              <w:rPr>
                <w:rFonts w:cs="Times New Roman"/>
                <w:sz w:val="20"/>
                <w:szCs w:val="20"/>
              </w:rPr>
            </w:pPr>
            <w:r w:rsidRPr="00E715BC">
              <w:rPr>
                <w:rFonts w:cs="Times New Roman"/>
                <w:sz w:val="20"/>
                <w:szCs w:val="20"/>
              </w:rPr>
              <w:t>Gestión de la Calidad del Agua</w:t>
            </w:r>
          </w:p>
          <w:p w14:paraId="500639FE" w14:textId="77777777" w:rsidR="00945F78" w:rsidRPr="00E715BC" w:rsidRDefault="00945F78" w:rsidP="002748C7">
            <w:pPr>
              <w:spacing w:line="276" w:lineRule="auto"/>
              <w:rPr>
                <w:rFonts w:cs="Times New Roman"/>
                <w:sz w:val="20"/>
                <w:szCs w:val="20"/>
              </w:rPr>
            </w:pPr>
          </w:p>
        </w:tc>
        <w:tc>
          <w:tcPr>
            <w:tcW w:w="6945" w:type="dxa"/>
            <w:tcBorders>
              <w:left w:val="nil"/>
            </w:tcBorders>
          </w:tcPr>
          <w:p w14:paraId="19EB9D77" w14:textId="77777777" w:rsidR="00945F78" w:rsidRPr="00E715BC" w:rsidRDefault="00945F78" w:rsidP="00945F78">
            <w:pPr>
              <w:numPr>
                <w:ilvl w:val="0"/>
                <w:numId w:val="1"/>
              </w:numPr>
              <w:spacing w:line="276" w:lineRule="auto"/>
              <w:rPr>
                <w:rFonts w:cs="Times New Roman"/>
                <w:sz w:val="20"/>
                <w:szCs w:val="20"/>
              </w:rPr>
            </w:pPr>
            <w:r w:rsidRPr="00E715BC">
              <w:rPr>
                <w:rFonts w:cs="Times New Roman"/>
                <w:sz w:val="20"/>
                <w:szCs w:val="20"/>
              </w:rPr>
              <w:t xml:space="preserve">Control de vertimientos y uso de agua: Implementar sistemas avanzados de tratamiento de aguas residuales y controlar estrictamente los vertimientos durante las fases de construcción y operación. Esto incluye la instalación de barreras de contención y </w:t>
            </w:r>
            <w:r w:rsidRPr="00E715BC">
              <w:rPr>
                <w:rFonts w:cs="Times New Roman"/>
                <w:sz w:val="20"/>
                <w:szCs w:val="20"/>
              </w:rPr>
              <w:lastRenderedPageBreak/>
              <w:t>filtros naturales para evitar la contaminación de cuerpos de agua cercanos.</w:t>
            </w:r>
          </w:p>
          <w:p w14:paraId="7F04B00C" w14:textId="77777777" w:rsidR="00945F78" w:rsidRPr="00E715BC" w:rsidRDefault="00945F78" w:rsidP="00945F78">
            <w:pPr>
              <w:numPr>
                <w:ilvl w:val="0"/>
                <w:numId w:val="1"/>
              </w:numPr>
              <w:spacing w:line="276" w:lineRule="auto"/>
              <w:rPr>
                <w:rFonts w:cs="Times New Roman"/>
                <w:sz w:val="20"/>
                <w:szCs w:val="20"/>
              </w:rPr>
            </w:pPr>
            <w:r w:rsidRPr="00E715BC">
              <w:rPr>
                <w:rFonts w:cs="Times New Roman"/>
                <w:sz w:val="20"/>
                <w:szCs w:val="20"/>
              </w:rPr>
              <w:t>Monitoreo continuo de la calidad del agua: Establecer un programa de monitoreo constante para detectar y corregir de manera oportuna cualquier alteración en la calidad del agua. El monitoreo debe incluir la medición de parámetros clave como pH, turbidez, oxígeno disuelto y presencia de contaminantes.</w:t>
            </w:r>
          </w:p>
        </w:tc>
      </w:tr>
      <w:tr w:rsidR="00945F78" w:rsidRPr="00E715BC" w14:paraId="48F858C6" w14:textId="77777777" w:rsidTr="002748C7">
        <w:tc>
          <w:tcPr>
            <w:tcW w:w="2405" w:type="dxa"/>
            <w:tcBorders>
              <w:right w:val="nil"/>
            </w:tcBorders>
          </w:tcPr>
          <w:p w14:paraId="246E1AC8" w14:textId="77777777" w:rsidR="00945F78" w:rsidRPr="00E715BC" w:rsidRDefault="00945F78" w:rsidP="002748C7">
            <w:pPr>
              <w:spacing w:line="276" w:lineRule="auto"/>
              <w:rPr>
                <w:rFonts w:cs="Times New Roman"/>
                <w:sz w:val="20"/>
                <w:szCs w:val="20"/>
              </w:rPr>
            </w:pPr>
            <w:r w:rsidRPr="00E715BC">
              <w:rPr>
                <w:rFonts w:cs="Times New Roman"/>
                <w:sz w:val="20"/>
                <w:szCs w:val="20"/>
              </w:rPr>
              <w:lastRenderedPageBreak/>
              <w:t>Mejora de la Calidad del Aire</w:t>
            </w:r>
          </w:p>
        </w:tc>
        <w:tc>
          <w:tcPr>
            <w:tcW w:w="6945" w:type="dxa"/>
            <w:tcBorders>
              <w:left w:val="nil"/>
            </w:tcBorders>
          </w:tcPr>
          <w:p w14:paraId="2F063E34" w14:textId="77777777" w:rsidR="00945F78" w:rsidRPr="00E715BC" w:rsidRDefault="00945F78" w:rsidP="00945F78">
            <w:pPr>
              <w:numPr>
                <w:ilvl w:val="0"/>
                <w:numId w:val="2"/>
              </w:numPr>
              <w:spacing w:line="276" w:lineRule="auto"/>
              <w:rPr>
                <w:rFonts w:cs="Times New Roman"/>
                <w:sz w:val="20"/>
                <w:szCs w:val="20"/>
              </w:rPr>
            </w:pPr>
            <w:r w:rsidRPr="00E715BC">
              <w:rPr>
                <w:rFonts w:cs="Times New Roman"/>
                <w:sz w:val="20"/>
                <w:szCs w:val="20"/>
              </w:rPr>
              <w:t>Reducción de emisiones durante la construcción: Utilizar maquinaria y vehículos con bajas emisiones y promover el uso de tecnologías limpias. Además, se debe implementar un plan de riego en áreas de trabajo para reducir el polvo y las partículas suspendidas en el aire.</w:t>
            </w:r>
          </w:p>
          <w:p w14:paraId="1D8D18AD" w14:textId="77777777" w:rsidR="00945F78" w:rsidRPr="00E715BC" w:rsidRDefault="00945F78" w:rsidP="00945F78">
            <w:pPr>
              <w:numPr>
                <w:ilvl w:val="0"/>
                <w:numId w:val="2"/>
              </w:numPr>
              <w:spacing w:line="276" w:lineRule="auto"/>
              <w:rPr>
                <w:rFonts w:cs="Times New Roman"/>
                <w:sz w:val="20"/>
                <w:szCs w:val="20"/>
              </w:rPr>
            </w:pPr>
            <w:r w:rsidRPr="00E715BC">
              <w:rPr>
                <w:rFonts w:cs="Times New Roman"/>
                <w:sz w:val="20"/>
                <w:szCs w:val="20"/>
              </w:rPr>
              <w:t>Monitoreo de la calidad del aire: Instalar estaciones de monitoreo en puntos críticos alrededor del proyecto para medir la concentración de gases y partículas contaminantes, permitiendo así la implementación de medidas correctivas de manera inmediata.</w:t>
            </w:r>
          </w:p>
        </w:tc>
      </w:tr>
      <w:tr w:rsidR="00945F78" w:rsidRPr="00E715BC" w14:paraId="4245BB8B" w14:textId="77777777" w:rsidTr="002748C7">
        <w:tc>
          <w:tcPr>
            <w:tcW w:w="2405" w:type="dxa"/>
            <w:tcBorders>
              <w:right w:val="nil"/>
            </w:tcBorders>
          </w:tcPr>
          <w:p w14:paraId="7A72790C" w14:textId="77777777" w:rsidR="00945F78" w:rsidRPr="00E715BC" w:rsidRDefault="00945F78" w:rsidP="002748C7">
            <w:pPr>
              <w:spacing w:line="276" w:lineRule="auto"/>
              <w:rPr>
                <w:rFonts w:cs="Times New Roman"/>
                <w:sz w:val="20"/>
                <w:szCs w:val="20"/>
              </w:rPr>
            </w:pPr>
            <w:r w:rsidRPr="00E715BC">
              <w:rPr>
                <w:rFonts w:cs="Times New Roman"/>
                <w:sz w:val="20"/>
                <w:szCs w:val="20"/>
              </w:rPr>
              <w:t>Control de Erosión y Estabilidad de Taludes</w:t>
            </w:r>
          </w:p>
        </w:tc>
        <w:tc>
          <w:tcPr>
            <w:tcW w:w="6945" w:type="dxa"/>
            <w:tcBorders>
              <w:left w:val="nil"/>
            </w:tcBorders>
          </w:tcPr>
          <w:p w14:paraId="149AA864" w14:textId="77777777" w:rsidR="00945F78" w:rsidRPr="00E715BC" w:rsidRDefault="00945F78" w:rsidP="00945F78">
            <w:pPr>
              <w:numPr>
                <w:ilvl w:val="0"/>
                <w:numId w:val="3"/>
              </w:numPr>
              <w:spacing w:line="276" w:lineRule="auto"/>
              <w:rPr>
                <w:rFonts w:cs="Times New Roman"/>
                <w:sz w:val="20"/>
                <w:szCs w:val="20"/>
              </w:rPr>
            </w:pPr>
            <w:r w:rsidRPr="00E715BC">
              <w:rPr>
                <w:rFonts w:cs="Times New Roman"/>
                <w:sz w:val="20"/>
                <w:szCs w:val="20"/>
              </w:rPr>
              <w:t>Revegetación y estabilización de suelos: Aplicar técnicas de revegetación en áreas erosionadas y utilizar geotextiles y muros de contención en taludes para prevenir deslizamientos. La revegetación no solo estabiliza el suelo, sino que también ayuda a restaurar el ecosistema local.</w:t>
            </w:r>
          </w:p>
          <w:p w14:paraId="0C3AAE84" w14:textId="77777777" w:rsidR="00945F78" w:rsidRPr="00E715BC" w:rsidRDefault="00945F78" w:rsidP="00945F78">
            <w:pPr>
              <w:numPr>
                <w:ilvl w:val="0"/>
                <w:numId w:val="3"/>
              </w:numPr>
              <w:spacing w:line="276" w:lineRule="auto"/>
              <w:rPr>
                <w:rFonts w:cs="Times New Roman"/>
                <w:sz w:val="20"/>
                <w:szCs w:val="20"/>
              </w:rPr>
            </w:pPr>
            <w:r w:rsidRPr="00E715BC">
              <w:rPr>
                <w:rFonts w:cs="Times New Roman"/>
                <w:sz w:val="20"/>
                <w:szCs w:val="20"/>
              </w:rPr>
              <w:t>Plan de manejo de aguas pluviales: Implementar un sistema de drenaje eficiente para controlar el flujo de aguas pluviales, reduciendo así la erosión y protegiendo la estabilidad de los taludes.</w:t>
            </w:r>
          </w:p>
        </w:tc>
      </w:tr>
      <w:tr w:rsidR="00945F78" w:rsidRPr="00E715BC" w14:paraId="1ADF53AD" w14:textId="77777777" w:rsidTr="002748C7">
        <w:tc>
          <w:tcPr>
            <w:tcW w:w="2405" w:type="dxa"/>
            <w:tcBorders>
              <w:right w:val="nil"/>
            </w:tcBorders>
          </w:tcPr>
          <w:p w14:paraId="0838A92D" w14:textId="77777777" w:rsidR="00945F78" w:rsidRPr="00E715BC" w:rsidRDefault="00945F78" w:rsidP="002748C7">
            <w:pPr>
              <w:spacing w:line="276" w:lineRule="auto"/>
              <w:rPr>
                <w:rFonts w:cs="Times New Roman"/>
                <w:sz w:val="20"/>
                <w:szCs w:val="20"/>
              </w:rPr>
            </w:pPr>
            <w:r w:rsidRPr="00E715BC">
              <w:rPr>
                <w:rFonts w:cs="Times New Roman"/>
                <w:sz w:val="20"/>
                <w:szCs w:val="20"/>
              </w:rPr>
              <w:t>Protección de Flora y Fauna</w:t>
            </w:r>
          </w:p>
        </w:tc>
        <w:tc>
          <w:tcPr>
            <w:tcW w:w="6945" w:type="dxa"/>
            <w:tcBorders>
              <w:left w:val="nil"/>
            </w:tcBorders>
          </w:tcPr>
          <w:p w14:paraId="00BEE97C" w14:textId="77777777" w:rsidR="00945F78" w:rsidRPr="00E715BC" w:rsidRDefault="00945F78" w:rsidP="00945F78">
            <w:pPr>
              <w:numPr>
                <w:ilvl w:val="0"/>
                <w:numId w:val="4"/>
              </w:numPr>
              <w:spacing w:line="276" w:lineRule="auto"/>
              <w:rPr>
                <w:rFonts w:cs="Times New Roman"/>
                <w:sz w:val="20"/>
                <w:szCs w:val="20"/>
              </w:rPr>
            </w:pPr>
            <w:r w:rsidRPr="00E715BC">
              <w:rPr>
                <w:rFonts w:cs="Times New Roman"/>
                <w:sz w:val="20"/>
                <w:szCs w:val="20"/>
              </w:rPr>
              <w:t>Creación de corredores ecológicos: Establecer corredores ecológicos que conecten hábitats fragmentados para facilitar el movimiento de especies terrestres y proteger la biodiversidad local.</w:t>
            </w:r>
          </w:p>
          <w:p w14:paraId="370FEE1F" w14:textId="77777777" w:rsidR="00945F78" w:rsidRPr="00E715BC" w:rsidRDefault="00945F78" w:rsidP="00945F78">
            <w:pPr>
              <w:numPr>
                <w:ilvl w:val="0"/>
                <w:numId w:val="4"/>
              </w:numPr>
              <w:spacing w:line="276" w:lineRule="auto"/>
              <w:rPr>
                <w:rFonts w:cs="Times New Roman"/>
                <w:sz w:val="20"/>
                <w:szCs w:val="20"/>
              </w:rPr>
            </w:pPr>
            <w:r w:rsidRPr="00E715BC">
              <w:rPr>
                <w:rFonts w:cs="Times New Roman"/>
                <w:sz w:val="20"/>
                <w:szCs w:val="20"/>
              </w:rPr>
              <w:t>Plan de rescate y reubicación de fauna: Desarrollar un plan para el rescate y reubicación de especies animales en peligro durante las fases de construcción. Este plan debe incluir la participación de expertos en biodiversidad para minimizar el impacto sobre las especies más vulnerables.</w:t>
            </w:r>
          </w:p>
          <w:p w14:paraId="792EFE51" w14:textId="77777777" w:rsidR="00945F78" w:rsidRPr="00E715BC" w:rsidRDefault="00945F78" w:rsidP="002748C7">
            <w:pPr>
              <w:spacing w:line="276" w:lineRule="auto"/>
              <w:rPr>
                <w:rFonts w:cs="Times New Roman"/>
                <w:sz w:val="20"/>
                <w:szCs w:val="20"/>
              </w:rPr>
            </w:pPr>
          </w:p>
        </w:tc>
      </w:tr>
      <w:tr w:rsidR="00945F78" w:rsidRPr="00E715BC" w14:paraId="015B736F" w14:textId="77777777" w:rsidTr="002748C7">
        <w:tc>
          <w:tcPr>
            <w:tcW w:w="2405" w:type="dxa"/>
            <w:tcBorders>
              <w:right w:val="nil"/>
            </w:tcBorders>
          </w:tcPr>
          <w:p w14:paraId="0499DD35" w14:textId="77777777" w:rsidR="00945F78" w:rsidRPr="00E715BC" w:rsidRDefault="00945F78" w:rsidP="002748C7">
            <w:pPr>
              <w:spacing w:line="276" w:lineRule="auto"/>
              <w:rPr>
                <w:rFonts w:cs="Times New Roman"/>
                <w:sz w:val="20"/>
                <w:szCs w:val="20"/>
              </w:rPr>
            </w:pPr>
            <w:r w:rsidRPr="00E715BC">
              <w:rPr>
                <w:rFonts w:cs="Times New Roman"/>
                <w:sz w:val="20"/>
                <w:szCs w:val="20"/>
              </w:rPr>
              <w:t>Conservación del Paisaje y Condiciones Físicas Únicas</w:t>
            </w:r>
          </w:p>
        </w:tc>
        <w:tc>
          <w:tcPr>
            <w:tcW w:w="6945" w:type="dxa"/>
            <w:tcBorders>
              <w:left w:val="nil"/>
            </w:tcBorders>
          </w:tcPr>
          <w:p w14:paraId="1DC7E710" w14:textId="77777777" w:rsidR="00945F78" w:rsidRPr="00E715BC" w:rsidRDefault="00945F78" w:rsidP="00945F78">
            <w:pPr>
              <w:numPr>
                <w:ilvl w:val="0"/>
                <w:numId w:val="5"/>
              </w:numPr>
              <w:spacing w:line="276" w:lineRule="auto"/>
              <w:rPr>
                <w:rFonts w:cs="Times New Roman"/>
                <w:sz w:val="20"/>
                <w:szCs w:val="20"/>
              </w:rPr>
            </w:pPr>
            <w:r w:rsidRPr="00E715BC">
              <w:rPr>
                <w:rFonts w:cs="Times New Roman"/>
                <w:sz w:val="20"/>
                <w:szCs w:val="20"/>
              </w:rPr>
              <w:t>Diseño paisajístico sostenible: Incorporar técnicas de diseño paisajístico que respeten las características físicas únicas del área. Esto incluye la integración de vegetación nativa y la preservación de formaciones geológicas importantes.</w:t>
            </w:r>
          </w:p>
          <w:p w14:paraId="18F81C1E" w14:textId="77777777" w:rsidR="00945F78" w:rsidRPr="00E715BC" w:rsidRDefault="00945F78" w:rsidP="00945F78">
            <w:pPr>
              <w:numPr>
                <w:ilvl w:val="0"/>
                <w:numId w:val="5"/>
              </w:numPr>
              <w:spacing w:line="276" w:lineRule="auto"/>
              <w:rPr>
                <w:rFonts w:cs="Times New Roman"/>
                <w:sz w:val="20"/>
                <w:szCs w:val="20"/>
              </w:rPr>
            </w:pPr>
            <w:r w:rsidRPr="00E715BC">
              <w:rPr>
                <w:rFonts w:cs="Times New Roman"/>
                <w:sz w:val="20"/>
                <w:szCs w:val="20"/>
              </w:rPr>
              <w:t>Protección de sitios de interés: Identificar y proteger las áreas de interés estético y cultural dentro del sitio del proyecto, evitando su alteración durante las actividades de construcción y operación.</w:t>
            </w:r>
          </w:p>
        </w:tc>
      </w:tr>
      <w:tr w:rsidR="00945F78" w:rsidRPr="00E715BC" w14:paraId="432A9DE9" w14:textId="77777777" w:rsidTr="002748C7">
        <w:tc>
          <w:tcPr>
            <w:tcW w:w="2405" w:type="dxa"/>
            <w:tcBorders>
              <w:right w:val="nil"/>
            </w:tcBorders>
          </w:tcPr>
          <w:p w14:paraId="2C681635" w14:textId="77777777" w:rsidR="00945F78" w:rsidRPr="00E715BC" w:rsidRDefault="00945F78" w:rsidP="002748C7">
            <w:pPr>
              <w:spacing w:line="276" w:lineRule="auto"/>
              <w:rPr>
                <w:rFonts w:cs="Times New Roman"/>
                <w:sz w:val="20"/>
                <w:szCs w:val="20"/>
              </w:rPr>
            </w:pPr>
            <w:r w:rsidRPr="00E715BC">
              <w:rPr>
                <w:rFonts w:cs="Times New Roman"/>
                <w:sz w:val="20"/>
                <w:szCs w:val="20"/>
              </w:rPr>
              <w:t>Maximización de Beneficios Sociales y Culturales</w:t>
            </w:r>
          </w:p>
        </w:tc>
        <w:tc>
          <w:tcPr>
            <w:tcW w:w="6945" w:type="dxa"/>
            <w:tcBorders>
              <w:left w:val="nil"/>
            </w:tcBorders>
          </w:tcPr>
          <w:p w14:paraId="3028C187" w14:textId="77777777" w:rsidR="00945F78" w:rsidRPr="00E715BC" w:rsidRDefault="00945F78" w:rsidP="00945F78">
            <w:pPr>
              <w:numPr>
                <w:ilvl w:val="0"/>
                <w:numId w:val="6"/>
              </w:numPr>
              <w:spacing w:line="276" w:lineRule="auto"/>
              <w:rPr>
                <w:rFonts w:cs="Times New Roman"/>
                <w:sz w:val="20"/>
                <w:szCs w:val="20"/>
              </w:rPr>
            </w:pPr>
            <w:r w:rsidRPr="00E715BC">
              <w:rPr>
                <w:rFonts w:cs="Times New Roman"/>
                <w:sz w:val="20"/>
                <w:szCs w:val="20"/>
              </w:rPr>
              <w:t xml:space="preserve">Capacitación y empleo local: Continuar promoviendo la contratación de mano de obra local y ofrecer programas de </w:t>
            </w:r>
            <w:r w:rsidRPr="00E715BC">
              <w:rPr>
                <w:rFonts w:cs="Times New Roman"/>
                <w:sz w:val="20"/>
                <w:szCs w:val="20"/>
              </w:rPr>
              <w:lastRenderedPageBreak/>
              <w:t>capacitación para mejorar las habilidades de la comunidad, asegurando que los beneficios del empleo sean duraderos.</w:t>
            </w:r>
          </w:p>
          <w:p w14:paraId="269527F5" w14:textId="77777777" w:rsidR="00945F78" w:rsidRPr="00E715BC" w:rsidRDefault="00945F78" w:rsidP="00945F78">
            <w:pPr>
              <w:numPr>
                <w:ilvl w:val="0"/>
                <w:numId w:val="6"/>
              </w:numPr>
              <w:spacing w:line="276" w:lineRule="auto"/>
              <w:rPr>
                <w:rFonts w:cs="Times New Roman"/>
                <w:sz w:val="20"/>
                <w:szCs w:val="20"/>
              </w:rPr>
            </w:pPr>
            <w:r w:rsidRPr="00E715BC">
              <w:rPr>
                <w:rFonts w:cs="Times New Roman"/>
                <w:sz w:val="20"/>
                <w:szCs w:val="20"/>
              </w:rPr>
              <w:t>Fortalecimiento de la infraestructura comunitaria: Invertir en el desarrollo de infraestructura comunitaria, como mejoras en la red de transporte y acceso a servicios básicos, como parte de la responsabilidad social del proyecto.</w:t>
            </w:r>
          </w:p>
        </w:tc>
      </w:tr>
    </w:tbl>
    <w:p w14:paraId="47C6AF0C" w14:textId="77777777" w:rsidR="00B47AC1" w:rsidRDefault="00B47AC1"/>
    <w:sectPr w:rsidR="00B47A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D72"/>
    <w:multiLevelType w:val="hybridMultilevel"/>
    <w:tmpl w:val="EABE047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0DA94579"/>
    <w:multiLevelType w:val="hybridMultilevel"/>
    <w:tmpl w:val="F5DA417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1F246CA4"/>
    <w:multiLevelType w:val="hybridMultilevel"/>
    <w:tmpl w:val="325A28D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24366AEE"/>
    <w:multiLevelType w:val="hybridMultilevel"/>
    <w:tmpl w:val="188AB77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25667E76"/>
    <w:multiLevelType w:val="hybridMultilevel"/>
    <w:tmpl w:val="6FBAA83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2FF17D75"/>
    <w:multiLevelType w:val="hybridMultilevel"/>
    <w:tmpl w:val="764475D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F78"/>
    <w:rsid w:val="003B678D"/>
    <w:rsid w:val="004C6424"/>
    <w:rsid w:val="007208F6"/>
    <w:rsid w:val="00945F78"/>
    <w:rsid w:val="009D43F8"/>
    <w:rsid w:val="00A07884"/>
    <w:rsid w:val="00B47AC1"/>
    <w:rsid w:val="00C75230"/>
    <w:rsid w:val="00CE480C"/>
    <w:rsid w:val="00E373F8"/>
    <w:rsid w:val="00EF6A7F"/>
    <w:rsid w:val="00F24B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F52A1"/>
  <w15:chartTrackingRefBased/>
  <w15:docId w15:val="{678E2CD3-8A68-5345-9847-C685EE565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F78"/>
    <w:pPr>
      <w:spacing w:after="160" w:line="480" w:lineRule="auto"/>
      <w:jc w:val="both"/>
    </w:pPr>
    <w:rPr>
      <w:rFonts w:ascii="Times New Roman" w:eastAsiaTheme="minorHAnsi" w:hAnsi="Times New Roman"/>
      <w:kern w:val="2"/>
      <w:szCs w:val="22"/>
      <w14:ligatures w14:val="standardContextual"/>
    </w:rPr>
  </w:style>
  <w:style w:type="paragraph" w:styleId="Ttulo1">
    <w:name w:val="heading 1"/>
    <w:basedOn w:val="Normal"/>
    <w:next w:val="Normal"/>
    <w:link w:val="Ttulo1Car"/>
    <w:uiPriority w:val="9"/>
    <w:rsid w:val="004C6424"/>
    <w:pPr>
      <w:keepNext/>
      <w:keepLines/>
      <w:spacing w:before="480" w:line="360" w:lineRule="auto"/>
      <w:jc w:val="center"/>
      <w:outlineLvl w:val="0"/>
    </w:pPr>
    <w:rPr>
      <w:rFonts w:eastAsiaTheme="majorEastAsia" w:cstheme="majorBidi"/>
      <w:b/>
      <w:bCs/>
      <w:szCs w:val="28"/>
    </w:rPr>
  </w:style>
  <w:style w:type="paragraph" w:styleId="Ttulo2">
    <w:name w:val="heading 2"/>
    <w:basedOn w:val="Normal"/>
    <w:next w:val="Normal"/>
    <w:link w:val="Ttulo2Car"/>
    <w:autoRedefine/>
    <w:uiPriority w:val="9"/>
    <w:unhideWhenUsed/>
    <w:qFormat/>
    <w:rsid w:val="007208F6"/>
    <w:pPr>
      <w:keepNext/>
      <w:keepLines/>
      <w:spacing w:before="40"/>
      <w:jc w:val="center"/>
      <w:outlineLvl w:val="1"/>
    </w:pPr>
    <w:rPr>
      <w:rFonts w:eastAsiaTheme="majorEastAsia" w:cstheme="majorBidi"/>
      <w:b/>
      <w:color w:val="000000" w:themeColor="text1"/>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6424"/>
    <w:rPr>
      <w:rFonts w:ascii="Times New Roman" w:eastAsiaTheme="majorEastAsia" w:hAnsi="Times New Roman" w:cstheme="majorBidi"/>
      <w:b/>
      <w:bCs/>
      <w:szCs w:val="28"/>
      <w:lang w:eastAsia="es-ES_tradnl"/>
    </w:rPr>
  </w:style>
  <w:style w:type="character" w:customStyle="1" w:styleId="Ttulo2Car">
    <w:name w:val="Título 2 Car"/>
    <w:basedOn w:val="Fuentedeprrafopredeter"/>
    <w:link w:val="Ttulo2"/>
    <w:uiPriority w:val="9"/>
    <w:rsid w:val="007208F6"/>
    <w:rPr>
      <w:rFonts w:ascii="Times New Roman" w:eastAsiaTheme="majorEastAsia" w:hAnsi="Times New Roman" w:cstheme="majorBidi"/>
      <w:b/>
      <w:color w:val="000000" w:themeColor="text1"/>
      <w:szCs w:val="26"/>
      <w:lang w:eastAsia="es-ES_tradnl"/>
    </w:rPr>
  </w:style>
  <w:style w:type="paragraph" w:styleId="Descripcin">
    <w:name w:val="caption"/>
    <w:basedOn w:val="Normal"/>
    <w:next w:val="Normal"/>
    <w:uiPriority w:val="35"/>
    <w:unhideWhenUsed/>
    <w:qFormat/>
    <w:rsid w:val="00945F78"/>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3BF46-4987-6E40-B952-29812F97D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1036</Words>
  <Characters>5700</Characters>
  <Application>Microsoft Office Word</Application>
  <DocSecurity>0</DocSecurity>
  <Lines>47</Lines>
  <Paragraphs>13</Paragraphs>
  <ScaleCrop>false</ScaleCrop>
  <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Juan Camilo Penaloza Buitrago</cp:lastModifiedBy>
  <cp:revision>5</cp:revision>
  <dcterms:created xsi:type="dcterms:W3CDTF">2025-03-20T02:25:00Z</dcterms:created>
  <dcterms:modified xsi:type="dcterms:W3CDTF">2025-05-01T13:27:00Z</dcterms:modified>
</cp:coreProperties>
</file>